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9B3A" w14:textId="77777777" w:rsidR="00A255F1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 xml:space="preserve">On 28 </w:t>
      </w:r>
      <w:r>
        <w:rPr>
          <w:spacing w:val="-4"/>
        </w:rPr>
        <w:t xml:space="preserve">November 2019, </w:t>
      </w:r>
      <w:r>
        <w:rPr>
          <w:spacing w:val="-3"/>
        </w:rPr>
        <w:t xml:space="preserve">the </w:t>
      </w:r>
      <w:r>
        <w:rPr>
          <w:spacing w:val="-4"/>
        </w:rPr>
        <w:t xml:space="preserve">Minister </w:t>
      </w:r>
      <w:r>
        <w:t xml:space="preserve">for </w:t>
      </w:r>
      <w:r>
        <w:rPr>
          <w:spacing w:val="-4"/>
        </w:rPr>
        <w:t xml:space="preserve">Housing </w:t>
      </w:r>
      <w:r>
        <w:t xml:space="preserve">and </w:t>
      </w:r>
      <w:r>
        <w:rPr>
          <w:spacing w:val="-4"/>
        </w:rPr>
        <w:t xml:space="preserve">Public </w:t>
      </w:r>
      <w:r>
        <w:rPr>
          <w:spacing w:val="-3"/>
        </w:rPr>
        <w:t xml:space="preserve">Works, </w:t>
      </w:r>
      <w:r>
        <w:rPr>
          <w:spacing w:val="-4"/>
        </w:rPr>
        <w:t xml:space="preserve">Minister </w:t>
      </w:r>
      <w:r>
        <w:rPr>
          <w:spacing w:val="-3"/>
        </w:rPr>
        <w:t xml:space="preserve">for </w:t>
      </w:r>
      <w:r>
        <w:rPr>
          <w:spacing w:val="-4"/>
        </w:rPr>
        <w:t>Digital</w:t>
      </w:r>
      <w:r>
        <w:rPr>
          <w:spacing w:val="53"/>
        </w:rPr>
        <w:t xml:space="preserve"> </w:t>
      </w:r>
      <w:r>
        <w:rPr>
          <w:spacing w:val="-4"/>
        </w:rPr>
        <w:t xml:space="preserve">Technology </w:t>
      </w:r>
      <w:r>
        <w:rPr>
          <w:spacing w:val="-3"/>
        </w:rPr>
        <w:t xml:space="preserve">and </w:t>
      </w:r>
      <w:r>
        <w:rPr>
          <w:spacing w:val="-4"/>
        </w:rPr>
        <w:t xml:space="preserve">Minister </w:t>
      </w:r>
      <w:r>
        <w:t xml:space="preserve">for </w:t>
      </w:r>
      <w:r>
        <w:rPr>
          <w:spacing w:val="-4"/>
        </w:rPr>
        <w:t xml:space="preserve">Sport </w:t>
      </w:r>
      <w:r>
        <w:rPr>
          <w:spacing w:val="-3"/>
        </w:rPr>
        <w:t xml:space="preserve">tabled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Legislative Assembly </w:t>
      </w:r>
      <w:r>
        <w:rPr>
          <w:spacing w:val="-3"/>
        </w:rPr>
        <w:t xml:space="preserve">the </w:t>
      </w:r>
      <w:r>
        <w:rPr>
          <w:spacing w:val="-4"/>
        </w:rPr>
        <w:t>government responses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two</w:t>
      </w:r>
      <w:r>
        <w:rPr>
          <w:spacing w:val="-12"/>
        </w:rPr>
        <w:t xml:space="preserve"> </w:t>
      </w:r>
      <w:r>
        <w:rPr>
          <w:spacing w:val="-4"/>
        </w:rPr>
        <w:t>independent</w:t>
      </w:r>
      <w:r>
        <w:rPr>
          <w:spacing w:val="-13"/>
        </w:rPr>
        <w:t xml:space="preserve"> </w:t>
      </w:r>
      <w:r>
        <w:rPr>
          <w:spacing w:val="-4"/>
        </w:rPr>
        <w:t>reports</w:t>
      </w:r>
      <w:r>
        <w:rPr>
          <w:spacing w:val="-14"/>
        </w:rPr>
        <w:t xml:space="preserve"> </w:t>
      </w:r>
      <w:r>
        <w:rPr>
          <w:spacing w:val="-3"/>
        </w:rPr>
        <w:t>into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building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4"/>
        </w:rPr>
        <w:t>construction</w:t>
      </w:r>
      <w:r>
        <w:rPr>
          <w:spacing w:val="-12"/>
        </w:rPr>
        <w:t xml:space="preserve"> </w:t>
      </w:r>
      <w:r>
        <w:rPr>
          <w:spacing w:val="-4"/>
        </w:rPr>
        <w:t>industry: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 xml:space="preserve">Building </w:t>
      </w:r>
      <w:r>
        <w:rPr>
          <w:spacing w:val="-3"/>
        </w:rPr>
        <w:t xml:space="preserve">Industry </w:t>
      </w:r>
      <w:r>
        <w:rPr>
          <w:spacing w:val="-4"/>
        </w:rPr>
        <w:t xml:space="preserve">Fairness Reforms Implementation </w:t>
      </w:r>
      <w:r>
        <w:rPr>
          <w:spacing w:val="-3"/>
        </w:rPr>
        <w:t xml:space="preserve">and </w:t>
      </w:r>
      <w:r>
        <w:rPr>
          <w:spacing w:val="-4"/>
        </w:rPr>
        <w:t xml:space="preserve">Evaluation </w:t>
      </w:r>
      <w:r>
        <w:rPr>
          <w:spacing w:val="-3"/>
        </w:rPr>
        <w:t xml:space="preserve">Panel </w:t>
      </w:r>
      <w:r>
        <w:rPr>
          <w:spacing w:val="-4"/>
        </w:rPr>
        <w:t xml:space="preserve">report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>Special Joint Taskforce</w:t>
      </w:r>
      <w:r>
        <w:rPr>
          <w:spacing w:val="11"/>
        </w:rPr>
        <w:t xml:space="preserve"> </w:t>
      </w:r>
      <w:r>
        <w:rPr>
          <w:spacing w:val="-4"/>
        </w:rPr>
        <w:t>report.</w:t>
      </w:r>
    </w:p>
    <w:p w14:paraId="5A2B540C" w14:textId="77777777" w:rsidR="00A255F1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 xml:space="preserve">The </w:t>
      </w:r>
      <w:r>
        <w:rPr>
          <w:spacing w:val="-4"/>
        </w:rPr>
        <w:t xml:space="preserve">reports </w:t>
      </w:r>
      <w:r>
        <w:t xml:space="preserve">made </w:t>
      </w:r>
      <w:r>
        <w:rPr>
          <w:spacing w:val="-4"/>
        </w:rPr>
        <w:t xml:space="preserve">recommendations </w:t>
      </w:r>
      <w:r>
        <w:rPr>
          <w:spacing w:val="-3"/>
        </w:rPr>
        <w:t xml:space="preserve">about </w:t>
      </w:r>
      <w:r>
        <w:t xml:space="preserve">how to </w:t>
      </w:r>
      <w:r>
        <w:rPr>
          <w:spacing w:val="-3"/>
        </w:rPr>
        <w:t xml:space="preserve">further </w:t>
      </w:r>
      <w:r>
        <w:rPr>
          <w:spacing w:val="-4"/>
        </w:rPr>
        <w:t xml:space="preserve">enhance Queensland’s security </w:t>
      </w:r>
      <w:r>
        <w:rPr>
          <w:spacing w:val="-3"/>
        </w:rPr>
        <w:t xml:space="preserve">of </w:t>
      </w:r>
      <w:r>
        <w:rPr>
          <w:spacing w:val="-4"/>
        </w:rPr>
        <w:t xml:space="preserve">payment laws, including </w:t>
      </w:r>
      <w:r>
        <w:t xml:space="preserve">the </w:t>
      </w:r>
      <w:r>
        <w:rPr>
          <w:spacing w:val="-4"/>
        </w:rPr>
        <w:t xml:space="preserve">current </w:t>
      </w:r>
      <w:r>
        <w:rPr>
          <w:spacing w:val="-3"/>
        </w:rPr>
        <w:t xml:space="preserve">trust </w:t>
      </w:r>
      <w:r>
        <w:rPr>
          <w:spacing w:val="-4"/>
        </w:rPr>
        <w:t xml:space="preserve">account system, </w:t>
      </w:r>
      <w:r>
        <w:t xml:space="preserve">and how to </w:t>
      </w:r>
      <w:r>
        <w:rPr>
          <w:spacing w:val="-4"/>
        </w:rPr>
        <w:t xml:space="preserve">address fraudulent practices </w:t>
      </w:r>
      <w:r>
        <w:rPr>
          <w:spacing w:val="-3"/>
        </w:rPr>
        <w:t xml:space="preserve">that </w:t>
      </w:r>
      <w:r>
        <w:rPr>
          <w:spacing w:val="-4"/>
        </w:rPr>
        <w:t xml:space="preserve">contribute </w:t>
      </w:r>
      <w:r>
        <w:t xml:space="preserve">to </w:t>
      </w:r>
      <w:r>
        <w:rPr>
          <w:spacing w:val="-4"/>
        </w:rPr>
        <w:t>subcontractor</w:t>
      </w:r>
      <w:r>
        <w:rPr>
          <w:spacing w:val="18"/>
        </w:rPr>
        <w:t xml:space="preserve"> </w:t>
      </w:r>
      <w:r>
        <w:rPr>
          <w:spacing w:val="-4"/>
        </w:rPr>
        <w:t>non-payment.</w:t>
      </w:r>
    </w:p>
    <w:p w14:paraId="137ADC87" w14:textId="302E024B" w:rsidR="00A255F1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The Building Industry Fairness (Security of Payment) and Other Legislation Amendment Bill 2020 (</w:t>
      </w:r>
      <w:r w:rsidR="00253F34">
        <w:t xml:space="preserve">the </w:t>
      </w:r>
      <w:r>
        <w:t>Bill) implements the government responses to the</w:t>
      </w:r>
      <w:r>
        <w:rPr>
          <w:spacing w:val="-22"/>
        </w:rPr>
        <w:t xml:space="preserve"> </w:t>
      </w:r>
      <w:r>
        <w:t>reports.</w:t>
      </w:r>
    </w:p>
    <w:p w14:paraId="7D4DF1FC" w14:textId="77777777" w:rsidR="00A255F1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t>The</w:t>
      </w:r>
      <w:r>
        <w:rPr>
          <w:spacing w:val="-10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progresses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phase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implementation.</w:t>
      </w:r>
      <w:r>
        <w:rPr>
          <w:spacing w:val="-9"/>
        </w:rPr>
        <w:t xml:space="preserve"> </w:t>
      </w:r>
      <w:r>
        <w:t>This involves:</w:t>
      </w:r>
    </w:p>
    <w:p w14:paraId="32495073" w14:textId="77777777" w:rsidR="00A255F1" w:rsidRDefault="005E1A9F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 w:line="237" w:lineRule="auto"/>
        <w:ind w:left="993" w:right="6" w:hanging="426"/>
      </w:pPr>
      <w:r>
        <w:t>providing more oversight powers to building and practitioner regulators, including the Queensland Building and Construction Commission (QBCC) and the boards governing registered architects and</w:t>
      </w:r>
      <w:r>
        <w:rPr>
          <w:spacing w:val="-17"/>
        </w:rPr>
        <w:t xml:space="preserve"> </w:t>
      </w:r>
      <w:r>
        <w:t>engineers;</w:t>
      </w:r>
    </w:p>
    <w:p w14:paraId="41A02804" w14:textId="0C969C0E" w:rsidR="00A255F1" w:rsidRDefault="005E1A9F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/>
        <w:ind w:left="993" w:right="6" w:hanging="426"/>
        <w:jc w:val="left"/>
      </w:pPr>
      <w:r>
        <w:t>clarifying QBCC licensing</w:t>
      </w:r>
      <w:r>
        <w:rPr>
          <w:spacing w:val="-18"/>
        </w:rPr>
        <w:t xml:space="preserve"> </w:t>
      </w:r>
      <w:r>
        <w:t>requirements;</w:t>
      </w:r>
      <w:r w:rsidR="00253F34">
        <w:t xml:space="preserve"> and</w:t>
      </w:r>
    </w:p>
    <w:p w14:paraId="382BEBEF" w14:textId="77777777" w:rsidR="00A255F1" w:rsidRDefault="005E1A9F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 w:line="252" w:lineRule="exact"/>
        <w:ind w:left="993" w:right="6" w:hanging="426"/>
      </w:pPr>
      <w:r>
        <w:t>measures to improve the professional standards and independence of building certifiers, such as a new demerit points</w:t>
      </w:r>
      <w:r>
        <w:rPr>
          <w:spacing w:val="-16"/>
        </w:rPr>
        <w:t xml:space="preserve"> </w:t>
      </w:r>
      <w:r>
        <w:t>system.</w:t>
      </w:r>
    </w:p>
    <w:p w14:paraId="0E756E2E" w14:textId="5F24F05F" w:rsidR="00A255F1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spacing w:val="-4"/>
        </w:rP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Bill</w:t>
      </w:r>
      <w:r>
        <w:rPr>
          <w:spacing w:val="-11"/>
        </w:rPr>
        <w:t xml:space="preserve"> </w:t>
      </w:r>
      <w:r>
        <w:rPr>
          <w:spacing w:val="-4"/>
        </w:rPr>
        <w:t xml:space="preserve">amends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Retirement Villages </w:t>
      </w:r>
      <w:r>
        <w:rPr>
          <w:i/>
          <w:spacing w:val="-3"/>
        </w:rPr>
        <w:t xml:space="preserve">Act 1999 </w:t>
      </w:r>
      <w:r>
        <w:t xml:space="preserve">to </w:t>
      </w:r>
      <w:r>
        <w:rPr>
          <w:spacing w:val="-4"/>
        </w:rPr>
        <w:t xml:space="preserve">preserve </w:t>
      </w:r>
      <w:r>
        <w:rPr>
          <w:spacing w:val="-3"/>
        </w:rPr>
        <w:t xml:space="preserve">in primary </w:t>
      </w:r>
      <w:r>
        <w:rPr>
          <w:spacing w:val="-4"/>
        </w:rPr>
        <w:t xml:space="preserve">legislation </w:t>
      </w:r>
      <w:r>
        <w:rPr>
          <w:spacing w:val="-3"/>
        </w:rPr>
        <w:t xml:space="preserve">certain </w:t>
      </w:r>
      <w:r>
        <w:rPr>
          <w:spacing w:val="-4"/>
        </w:rPr>
        <w:t xml:space="preserve">provisions previously </w:t>
      </w:r>
      <w:r>
        <w:rPr>
          <w:spacing w:val="-3"/>
        </w:rPr>
        <w:t xml:space="preserve">made </w:t>
      </w:r>
      <w:r>
        <w:rPr>
          <w:spacing w:val="-4"/>
        </w:rPr>
        <w:t xml:space="preserve">under </w:t>
      </w:r>
      <w:r>
        <w:t xml:space="preserve">a </w:t>
      </w:r>
      <w:r>
        <w:rPr>
          <w:spacing w:val="-4"/>
        </w:rPr>
        <w:t>transitional</w:t>
      </w:r>
      <w:r>
        <w:rPr>
          <w:spacing w:val="23"/>
        </w:rPr>
        <w:t xml:space="preserve"> </w:t>
      </w:r>
      <w:r>
        <w:rPr>
          <w:spacing w:val="-4"/>
        </w:rPr>
        <w:t>regulation.</w:t>
      </w:r>
    </w:p>
    <w:p w14:paraId="766B2D48" w14:textId="77777777" w:rsidR="00A255F1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u w:val="single"/>
        </w:rPr>
        <w:t>Cabinet</w:t>
      </w:r>
      <w:r>
        <w:rPr>
          <w:spacing w:val="-5"/>
          <w:u w:val="single"/>
        </w:rPr>
        <w:t xml:space="preserve"> </w:t>
      </w:r>
      <w:r>
        <w:rPr>
          <w:u w:val="single"/>
        </w:rPr>
        <w:t>approved</w:t>
      </w:r>
      <w:r w:rsidRPr="00253F34">
        <w:rPr>
          <w:spacing w:val="-5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Fairness</w:t>
      </w:r>
      <w:r>
        <w:rPr>
          <w:spacing w:val="-7"/>
        </w:rPr>
        <w:t xml:space="preserve"> </w:t>
      </w:r>
      <w:r>
        <w:t>(Security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Payment)</w:t>
      </w:r>
      <w:r>
        <w:rPr>
          <w:spacing w:val="-7"/>
        </w:rPr>
        <w:t xml:space="preserve"> </w:t>
      </w:r>
      <w:r>
        <w:t>and Other Legislation Amendment Bill 2020 into the Legislative</w:t>
      </w:r>
      <w:r>
        <w:rPr>
          <w:spacing w:val="-21"/>
        </w:rPr>
        <w:t xml:space="preserve"> </w:t>
      </w:r>
      <w:r>
        <w:t>Assembly.</w:t>
      </w:r>
    </w:p>
    <w:p w14:paraId="26A4A2FC" w14:textId="77777777" w:rsidR="00A255F1" w:rsidRPr="00D45240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  <w:jc w:val="both"/>
      </w:pPr>
      <w:r>
        <w:rPr>
          <w:u w:val="single"/>
        </w:rPr>
        <w:t>Cabinet approved</w:t>
      </w:r>
      <w:r w:rsidRPr="00253F34">
        <w:t xml:space="preserve"> </w:t>
      </w:r>
      <w:r>
        <w:t xml:space="preserve">tabling of the draft Building Industry Fairness (Security of Payment) Amendment Regulation 2020 in the </w:t>
      </w:r>
      <w:r w:rsidRPr="00D45240">
        <w:t>Legislative</w:t>
      </w:r>
      <w:r w:rsidRPr="00D45240">
        <w:rPr>
          <w:spacing w:val="-14"/>
        </w:rPr>
        <w:t xml:space="preserve"> </w:t>
      </w:r>
      <w:r w:rsidRPr="00D45240">
        <w:t>Assembly</w:t>
      </w:r>
    </w:p>
    <w:p w14:paraId="3BB07BEE" w14:textId="77777777" w:rsidR="00A255F1" w:rsidRPr="00D45240" w:rsidRDefault="005E1A9F" w:rsidP="00253F34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6" w:hanging="567"/>
        <w:rPr>
          <w:i/>
        </w:rPr>
      </w:pPr>
      <w:r w:rsidRPr="00D45240">
        <w:rPr>
          <w:i/>
          <w:u w:val="single"/>
        </w:rPr>
        <w:t>Attachments</w:t>
      </w:r>
    </w:p>
    <w:p w14:paraId="48259BBB" w14:textId="265CFF2E" w:rsidR="00E15456" w:rsidRPr="00D45240" w:rsidRDefault="00126FB3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 w:line="252" w:lineRule="exact"/>
        <w:ind w:left="993" w:right="6" w:hanging="426"/>
      </w:pPr>
      <w:hyperlink r:id="rId10" w:history="1">
        <w:r w:rsidR="00E15456" w:rsidRPr="0081227C">
          <w:rPr>
            <w:rStyle w:val="Hyperlink"/>
          </w:rPr>
          <w:t>Building Industry Fairness (Security of Payment) and Other Legislation Amendment Bill 2020</w:t>
        </w:r>
      </w:hyperlink>
      <w:r w:rsidR="00E15456" w:rsidRPr="00D45240">
        <w:t xml:space="preserve"> </w:t>
      </w:r>
    </w:p>
    <w:p w14:paraId="7C8F230A" w14:textId="37F3DF8E" w:rsidR="00A255F1" w:rsidRDefault="00126FB3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 w:line="252" w:lineRule="exact"/>
        <w:ind w:left="993" w:right="6" w:hanging="426"/>
      </w:pPr>
      <w:hyperlink r:id="rId11" w:history="1">
        <w:r w:rsidR="00E15456" w:rsidRPr="0081227C">
          <w:rPr>
            <w:rStyle w:val="Hyperlink"/>
          </w:rPr>
          <w:t>Explanatory Notes</w:t>
        </w:r>
      </w:hyperlink>
      <w:r w:rsidR="005E1A9F" w:rsidRPr="00D45240">
        <w:t xml:space="preserve"> </w:t>
      </w:r>
    </w:p>
    <w:p w14:paraId="53799B66" w14:textId="56E062E2" w:rsidR="007F4DE7" w:rsidRPr="00D45240" w:rsidRDefault="00126FB3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 w:line="252" w:lineRule="exact"/>
        <w:ind w:left="993" w:right="6" w:hanging="426"/>
      </w:pPr>
      <w:hyperlink r:id="rId12" w:history="1">
        <w:r w:rsidR="000209D0" w:rsidRPr="0081227C">
          <w:rPr>
            <w:rStyle w:val="Hyperlink"/>
          </w:rPr>
          <w:t>Statement of Compatibility</w:t>
        </w:r>
      </w:hyperlink>
    </w:p>
    <w:p w14:paraId="1A401EB6" w14:textId="375198B3" w:rsidR="00A255F1" w:rsidRPr="000209D0" w:rsidRDefault="00126FB3" w:rsidP="00253F34">
      <w:pPr>
        <w:pStyle w:val="ListParagraph"/>
        <w:numPr>
          <w:ilvl w:val="1"/>
          <w:numId w:val="1"/>
        </w:numPr>
        <w:tabs>
          <w:tab w:val="left" w:pos="993"/>
        </w:tabs>
        <w:spacing w:before="120" w:line="252" w:lineRule="exact"/>
        <w:ind w:left="993" w:right="6" w:hanging="426"/>
      </w:pPr>
      <w:hyperlink r:id="rId13" w:history="1">
        <w:r w:rsidR="00E15456" w:rsidRPr="0081227C">
          <w:rPr>
            <w:rStyle w:val="Hyperlink"/>
          </w:rPr>
          <w:t>Draft Building Industry Fairness (Security of Payment) Amendment Regulation 2020</w:t>
        </w:r>
      </w:hyperlink>
    </w:p>
    <w:sectPr w:rsidR="00A255F1" w:rsidRPr="000209D0" w:rsidSect="00D17713">
      <w:headerReference w:type="default" r:id="rId14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438C" w14:textId="77777777" w:rsidR="00020916" w:rsidRDefault="00020916" w:rsidP="00BB1AC4">
      <w:r>
        <w:separator/>
      </w:r>
    </w:p>
  </w:endnote>
  <w:endnote w:type="continuationSeparator" w:id="0">
    <w:p w14:paraId="7BEFD9FF" w14:textId="77777777" w:rsidR="00020916" w:rsidRDefault="00020916" w:rsidP="00BB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FF3FF" w14:textId="77777777" w:rsidR="00020916" w:rsidRDefault="00020916" w:rsidP="00BB1AC4">
      <w:r>
        <w:separator/>
      </w:r>
    </w:p>
  </w:footnote>
  <w:footnote w:type="continuationSeparator" w:id="0">
    <w:p w14:paraId="7BB81DA7" w14:textId="77777777" w:rsidR="00020916" w:rsidRDefault="00020916" w:rsidP="00BB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3475" w14:textId="77777777" w:rsidR="00BB1AC4" w:rsidRPr="00937A4A" w:rsidRDefault="00BB1AC4" w:rsidP="00BB1A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BA61869" w14:textId="77777777" w:rsidR="00BB1AC4" w:rsidRPr="00937A4A" w:rsidRDefault="00BB1AC4" w:rsidP="00BB1A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E035EEB" w14:textId="3D39FA12" w:rsidR="00BB1AC4" w:rsidRPr="00937A4A" w:rsidRDefault="00BB1AC4" w:rsidP="00BB1A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D17713">
      <w:rPr>
        <w:b/>
      </w:rPr>
      <w:t>February 2020</w:t>
    </w:r>
  </w:p>
  <w:p w14:paraId="525D3111" w14:textId="01BDC8C6" w:rsidR="00BB1AC4" w:rsidRDefault="00D17713" w:rsidP="00BB1AC4">
    <w:pPr>
      <w:pStyle w:val="Header"/>
      <w:spacing w:before="120"/>
      <w:rPr>
        <w:b/>
        <w:u w:val="single"/>
      </w:rPr>
    </w:pPr>
    <w:r>
      <w:rPr>
        <w:b/>
        <w:u w:val="single"/>
      </w:rPr>
      <w:t>Building Industry Fairness (Security of Payment) and Other Legislation Amendment Bill 2020</w:t>
    </w:r>
  </w:p>
  <w:p w14:paraId="5C302EE4" w14:textId="155E6AEB" w:rsidR="00BB1AC4" w:rsidRDefault="00BB1AC4" w:rsidP="00BB1AC4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D17713">
      <w:rPr>
        <w:b/>
        <w:u w:val="single"/>
      </w:rPr>
      <w:t xml:space="preserve"> for Housing and Public Works, Minister for Digital and Technology and Minister for Sport</w:t>
    </w:r>
  </w:p>
  <w:p w14:paraId="3F83D93D" w14:textId="77777777" w:rsidR="00BB1AC4" w:rsidRDefault="00BB1AC4" w:rsidP="00BB1AC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02C31"/>
    <w:multiLevelType w:val="hybridMultilevel"/>
    <w:tmpl w:val="4336CD80"/>
    <w:lvl w:ilvl="0" w:tplc="4AB694E6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D04A6170">
      <w:numFmt w:val="bullet"/>
      <w:lvlText w:val=""/>
      <w:lvlJc w:val="left"/>
      <w:pPr>
        <w:ind w:left="115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877E7060">
      <w:numFmt w:val="bullet"/>
      <w:lvlText w:val="•"/>
      <w:lvlJc w:val="left"/>
      <w:pPr>
        <w:ind w:left="2114" w:hanging="454"/>
      </w:pPr>
      <w:rPr>
        <w:rFonts w:hint="default"/>
      </w:rPr>
    </w:lvl>
    <w:lvl w:ilvl="3" w:tplc="8094261C">
      <w:numFmt w:val="bullet"/>
      <w:lvlText w:val="•"/>
      <w:lvlJc w:val="left"/>
      <w:pPr>
        <w:ind w:left="3068" w:hanging="454"/>
      </w:pPr>
      <w:rPr>
        <w:rFonts w:hint="default"/>
      </w:rPr>
    </w:lvl>
    <w:lvl w:ilvl="4" w:tplc="6D0CD82A">
      <w:numFmt w:val="bullet"/>
      <w:lvlText w:val="•"/>
      <w:lvlJc w:val="left"/>
      <w:pPr>
        <w:ind w:left="4022" w:hanging="454"/>
      </w:pPr>
      <w:rPr>
        <w:rFonts w:hint="default"/>
      </w:rPr>
    </w:lvl>
    <w:lvl w:ilvl="5" w:tplc="6FD0F510">
      <w:numFmt w:val="bullet"/>
      <w:lvlText w:val="•"/>
      <w:lvlJc w:val="left"/>
      <w:pPr>
        <w:ind w:left="4976" w:hanging="454"/>
      </w:pPr>
      <w:rPr>
        <w:rFonts w:hint="default"/>
      </w:rPr>
    </w:lvl>
    <w:lvl w:ilvl="6" w:tplc="1974F4BA">
      <w:numFmt w:val="bullet"/>
      <w:lvlText w:val="•"/>
      <w:lvlJc w:val="left"/>
      <w:pPr>
        <w:ind w:left="5930" w:hanging="454"/>
      </w:pPr>
      <w:rPr>
        <w:rFonts w:hint="default"/>
      </w:rPr>
    </w:lvl>
    <w:lvl w:ilvl="7" w:tplc="096027D4">
      <w:numFmt w:val="bullet"/>
      <w:lvlText w:val="•"/>
      <w:lvlJc w:val="left"/>
      <w:pPr>
        <w:ind w:left="6884" w:hanging="454"/>
      </w:pPr>
      <w:rPr>
        <w:rFonts w:hint="default"/>
      </w:rPr>
    </w:lvl>
    <w:lvl w:ilvl="8" w:tplc="70C0D9E4">
      <w:numFmt w:val="bullet"/>
      <w:lvlText w:val="•"/>
      <w:lvlJc w:val="left"/>
      <w:pPr>
        <w:ind w:left="783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F1"/>
    <w:rsid w:val="00020916"/>
    <w:rsid w:val="000209D0"/>
    <w:rsid w:val="00126FB3"/>
    <w:rsid w:val="00253F34"/>
    <w:rsid w:val="003C41B0"/>
    <w:rsid w:val="00565E32"/>
    <w:rsid w:val="005E1A9F"/>
    <w:rsid w:val="006972C9"/>
    <w:rsid w:val="00755E58"/>
    <w:rsid w:val="007F4DE7"/>
    <w:rsid w:val="0081227C"/>
    <w:rsid w:val="00A255F1"/>
    <w:rsid w:val="00A3773D"/>
    <w:rsid w:val="00BB1AC4"/>
    <w:rsid w:val="00CE35E3"/>
    <w:rsid w:val="00D17713"/>
    <w:rsid w:val="00D45240"/>
    <w:rsid w:val="00E15456"/>
    <w:rsid w:val="00E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D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344" w:right="63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right="3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5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4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DraftRe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So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EFC8F-9FA8-448E-B95B-79FCBDDDD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54CDE-9582-4923-94DF-036925507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34DC-74AD-4965-A184-F6EC7B5D8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1689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Manager/>
  <Company/>
  <LinksUpToDate>false</LinksUpToDate>
  <CharactersWithSpaces>1949</CharactersWithSpaces>
  <SharedDoc>false</SharedDoc>
  <HyperlinkBase>https://www.cabinet.qld.gov.au/documents/2020/Feb/BIFOLABill/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CAB—Proactive Release Summary</dc:title>
  <dc:creator/>
  <cp:keywords>cabinet; proactive release</cp:keywords>
  <cp:lastModifiedBy/>
  <cp:revision>13</cp:revision>
  <dcterms:created xsi:type="dcterms:W3CDTF">2020-07-28T03:43:00Z</dcterms:created>
  <dcterms:modified xsi:type="dcterms:W3CDTF">2020-09-25T04:23:00Z</dcterms:modified>
  <cp:category>Legislation,Building_and_Construction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2020-07-23T00:00:00Z</vt:filetime>
  </property>
  <property fmtid="{D5CDD505-2E9C-101B-9397-08002B2CF9AE}" pid="5" name="ContentTypeId">
    <vt:lpwstr>0x010100DDE14CFDD070B24F85F5DE43654FF01E</vt:lpwstr>
  </property>
</Properties>
</file>